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61"/>
        <w:gridCol w:w="9160"/>
      </w:tblGrid>
      <w:tr w:rsidR="00003AE5" w:rsidRPr="00313B62" w14:paraId="7D978491" w14:textId="77777777" w:rsidTr="00003AE5">
        <w:tc>
          <w:tcPr>
            <w:tcW w:w="461" w:type="dxa"/>
          </w:tcPr>
          <w:p w14:paraId="1C83EA66" w14:textId="3E8EE01D" w:rsidR="00003AE5" w:rsidRPr="00313B62" w:rsidRDefault="00003AE5" w:rsidP="003B6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9835" w:type="dxa"/>
            <w:gridSpan w:val="2"/>
          </w:tcPr>
          <w:p w14:paraId="0BC41CF4" w14:textId="55AB5366" w:rsidR="00003AE5" w:rsidRPr="00313B62" w:rsidRDefault="00003AE5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3AE5" w:rsidRPr="00313B62" w14:paraId="6ED84369" w14:textId="77777777" w:rsidTr="00003AE5">
        <w:tc>
          <w:tcPr>
            <w:tcW w:w="461" w:type="dxa"/>
          </w:tcPr>
          <w:p w14:paraId="38C5BD44" w14:textId="5D1FBE08" w:rsidR="00003AE5" w:rsidRPr="00C001A1" w:rsidRDefault="00C001A1" w:rsidP="00C00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C001A1">
              <w:rPr>
                <w:rFonts w:ascii="Calibri" w:hAnsi="Calibri" w:cs="Calibri"/>
                <w:b/>
                <w:sz w:val="20"/>
                <w:szCs w:val="22"/>
              </w:rPr>
              <w:t>A.</w:t>
            </w:r>
          </w:p>
        </w:tc>
        <w:tc>
          <w:tcPr>
            <w:tcW w:w="9835" w:type="dxa"/>
            <w:gridSpan w:val="2"/>
          </w:tcPr>
          <w:p w14:paraId="14FAA6A8" w14:textId="7C69B9E6" w:rsidR="00003AE5" w:rsidRPr="00313B62" w:rsidRDefault="005552B5" w:rsidP="001C4D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57149A">
              <w:rPr>
                <w:rFonts w:ascii="Calibri" w:hAnsi="Calibri" w:cs="Calibri"/>
                <w:b/>
                <w:sz w:val="22"/>
                <w:szCs w:val="22"/>
              </w:rPr>
              <w:t xml:space="preserve">steomyelitis </w:t>
            </w:r>
            <w:r w:rsidR="00C24A2D">
              <w:rPr>
                <w:rFonts w:ascii="Calibri" w:hAnsi="Calibri" w:cs="Calibri"/>
                <w:b/>
                <w:sz w:val="22"/>
                <w:szCs w:val="22"/>
              </w:rPr>
              <w:t>diagnos</w:t>
            </w:r>
            <w:r w:rsidR="0057149A">
              <w:rPr>
                <w:rFonts w:ascii="Calibri" w:hAnsi="Calibri" w:cs="Calibri"/>
                <w:b/>
                <w:sz w:val="22"/>
                <w:szCs w:val="22"/>
              </w:rPr>
              <w:t xml:space="preserve">is </w:t>
            </w:r>
            <w:r w:rsidR="00C24A2D">
              <w:rPr>
                <w:rFonts w:ascii="Calibri" w:hAnsi="Calibri" w:cs="Calibri"/>
                <w:b/>
                <w:sz w:val="22"/>
                <w:szCs w:val="22"/>
              </w:rPr>
              <w:t xml:space="preserve">is </w:t>
            </w:r>
            <w:r w:rsidR="0057149A">
              <w:rPr>
                <w:rFonts w:ascii="Calibri" w:hAnsi="Calibri" w:cs="Calibri"/>
                <w:b/>
                <w:sz w:val="22"/>
                <w:szCs w:val="22"/>
              </w:rPr>
              <w:t>confirmed</w:t>
            </w:r>
            <w:r w:rsidR="00C24A2D">
              <w:rPr>
                <w:rFonts w:ascii="Calibri" w:hAnsi="Calibri" w:cs="Calibri"/>
                <w:b/>
                <w:sz w:val="22"/>
                <w:szCs w:val="22"/>
              </w:rPr>
              <w:t xml:space="preserve"> in the medical record</w:t>
            </w:r>
            <w:r w:rsidR="0057149A">
              <w:rPr>
                <w:rFonts w:ascii="Calibri" w:hAnsi="Calibri" w:cs="Calibri"/>
                <w:b/>
                <w:sz w:val="22"/>
                <w:szCs w:val="22"/>
              </w:rPr>
              <w:t xml:space="preserve"> by one of the following</w:t>
            </w:r>
            <w:r w:rsidR="00003AE5" w:rsidRPr="00313B6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C4DE8">
              <w:rPr>
                <w:rFonts w:ascii="Calibri" w:hAnsi="Calibri" w:cs="Calibri"/>
                <w:b/>
                <w:sz w:val="22"/>
                <w:szCs w:val="22"/>
              </w:rPr>
              <w:t xml:space="preserve">Check all that apply </w:t>
            </w:r>
            <w:r w:rsidRPr="00BB0E5E">
              <w:rPr>
                <w:rFonts w:ascii="Calibri" w:hAnsi="Calibri" w:cs="Calibri"/>
                <w:i/>
                <w:sz w:val="22"/>
                <w:szCs w:val="22"/>
              </w:rPr>
              <w:t xml:space="preserve">(exposed bone is not </w:t>
            </w:r>
            <w:r w:rsidR="00E80D66">
              <w:rPr>
                <w:rFonts w:ascii="Calibri" w:hAnsi="Calibri" w:cs="Calibri"/>
                <w:i/>
                <w:sz w:val="22"/>
                <w:szCs w:val="22"/>
              </w:rPr>
              <w:t xml:space="preserve">a </w:t>
            </w:r>
            <w:r w:rsidRPr="00BB0E5E">
              <w:rPr>
                <w:rFonts w:ascii="Calibri" w:hAnsi="Calibri" w:cs="Calibri"/>
                <w:i/>
                <w:sz w:val="22"/>
                <w:szCs w:val="22"/>
              </w:rPr>
              <w:t>sufficient</w:t>
            </w:r>
            <w:r w:rsidR="00E80D66">
              <w:rPr>
                <w:rFonts w:ascii="Calibri" w:hAnsi="Calibri" w:cs="Calibri"/>
                <w:i/>
                <w:sz w:val="22"/>
                <w:szCs w:val="22"/>
              </w:rPr>
              <w:t xml:space="preserve"> diagnosis</w:t>
            </w:r>
            <w:r w:rsidR="00BB0E5E" w:rsidRPr="00BB0E5E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</w:tr>
      <w:tr w:rsidR="00003AE5" w:rsidRPr="00313B62" w14:paraId="025C968C" w14:textId="77777777" w:rsidTr="00003AE5">
        <w:tc>
          <w:tcPr>
            <w:tcW w:w="461" w:type="dxa"/>
          </w:tcPr>
          <w:p w14:paraId="799EFED0" w14:textId="77777777" w:rsidR="00003AE5" w:rsidRPr="00313B62" w:rsidRDefault="00003AE5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1" w:type="dxa"/>
          </w:tcPr>
          <w:p w14:paraId="63A27283" w14:textId="77777777" w:rsidR="00003AE5" w:rsidRPr="00313B62" w:rsidRDefault="00003AE5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2"/>
              </w:rPr>
            </w:r>
            <w:r w:rsidR="001F27C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9374" w:type="dxa"/>
          </w:tcPr>
          <w:p w14:paraId="6A0FFCA8" w14:textId="3704BEFD" w:rsidR="00003AE5" w:rsidRPr="00C24A2D" w:rsidRDefault="00C24A2D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24A2D">
              <w:rPr>
                <w:rFonts w:ascii="Calibri" w:hAnsi="Calibri" w:cs="Calibri"/>
                <w:sz w:val="22"/>
                <w:szCs w:val="22"/>
              </w:rPr>
              <w:t>X-ray</w:t>
            </w:r>
          </w:p>
        </w:tc>
      </w:tr>
      <w:tr w:rsidR="0057149A" w:rsidRPr="00313B62" w14:paraId="15817C4E" w14:textId="77777777" w:rsidTr="0057149A">
        <w:tc>
          <w:tcPr>
            <w:tcW w:w="461" w:type="dxa"/>
          </w:tcPr>
          <w:p w14:paraId="35082059" w14:textId="77777777" w:rsidR="0057149A" w:rsidRPr="00313B62" w:rsidRDefault="0057149A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13CDC59D" w14:textId="49976937" w:rsidR="0057149A" w:rsidRPr="00313B62" w:rsidRDefault="0057149A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374" w:type="dxa"/>
          </w:tcPr>
          <w:p w14:paraId="489BA122" w14:textId="1D2A76F9" w:rsidR="0057149A" w:rsidRPr="00313B62" w:rsidRDefault="00C24A2D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Bone biopsy</w:t>
            </w:r>
          </w:p>
        </w:tc>
      </w:tr>
      <w:tr w:rsidR="00C24A2D" w:rsidRPr="00313B62" w14:paraId="560D9DFE" w14:textId="77777777" w:rsidTr="00C24A2D">
        <w:tc>
          <w:tcPr>
            <w:tcW w:w="461" w:type="dxa"/>
          </w:tcPr>
          <w:p w14:paraId="238A85D8" w14:textId="77777777" w:rsidR="00C24A2D" w:rsidRPr="00313B62" w:rsidRDefault="00C24A2D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143D6A37" w14:textId="50AC35B3" w:rsidR="00C24A2D" w:rsidRPr="00313B62" w:rsidRDefault="00C24A2D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61500646" w14:textId="327EBCC8" w:rsidR="00C24A2D" w:rsidRPr="00313B62" w:rsidRDefault="00C24A2D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Three phase bone scan</w:t>
            </w:r>
          </w:p>
        </w:tc>
      </w:tr>
      <w:tr w:rsidR="00C24A2D" w:rsidRPr="00313B62" w14:paraId="63774102" w14:textId="77777777" w:rsidTr="00C24A2D">
        <w:tc>
          <w:tcPr>
            <w:tcW w:w="461" w:type="dxa"/>
          </w:tcPr>
          <w:p w14:paraId="63730F0F" w14:textId="77777777" w:rsidR="00C24A2D" w:rsidRPr="00313B62" w:rsidRDefault="00C24A2D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5015A0F8" w14:textId="64840C24" w:rsidR="00C24A2D" w:rsidRPr="00313B62" w:rsidRDefault="00C24A2D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20727ECD" w14:textId="4D9DFD07" w:rsidR="00C24A2D" w:rsidRPr="00313B62" w:rsidRDefault="00C24A2D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</w:t>
            </w:r>
          </w:p>
        </w:tc>
      </w:tr>
      <w:tr w:rsidR="00C24A2D" w:rsidRPr="00313B62" w14:paraId="566502F2" w14:textId="77777777" w:rsidTr="00C24A2D">
        <w:tc>
          <w:tcPr>
            <w:tcW w:w="461" w:type="dxa"/>
          </w:tcPr>
          <w:p w14:paraId="7105CEF4" w14:textId="77777777" w:rsidR="00C24A2D" w:rsidRPr="00313B62" w:rsidRDefault="00C24A2D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06E14FB2" w14:textId="4100D2C1" w:rsidR="00C24A2D" w:rsidRPr="00313B62" w:rsidRDefault="00C24A2D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7DEBB3FE" w14:textId="143D19A9" w:rsidR="00C24A2D" w:rsidRPr="00313B62" w:rsidRDefault="00C24A2D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MRI</w:t>
            </w:r>
          </w:p>
        </w:tc>
      </w:tr>
      <w:tr w:rsidR="00313B62" w:rsidRPr="00313B62" w14:paraId="6A543F6B" w14:textId="77777777" w:rsidTr="00003AE5">
        <w:tc>
          <w:tcPr>
            <w:tcW w:w="461" w:type="dxa"/>
          </w:tcPr>
          <w:p w14:paraId="0E49841B" w14:textId="551E30F8" w:rsidR="00313B62" w:rsidRPr="00C001A1" w:rsidRDefault="00C001A1" w:rsidP="00C00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C001A1">
              <w:rPr>
                <w:rFonts w:ascii="Calibri" w:hAnsi="Calibri" w:cs="Calibri"/>
                <w:b/>
                <w:sz w:val="20"/>
                <w:szCs w:val="22"/>
              </w:rPr>
              <w:t>B.</w:t>
            </w:r>
          </w:p>
        </w:tc>
        <w:tc>
          <w:tcPr>
            <w:tcW w:w="9835" w:type="dxa"/>
            <w:gridSpan w:val="2"/>
          </w:tcPr>
          <w:p w14:paraId="355DCB7D" w14:textId="02E13402" w:rsidR="00313B62" w:rsidRPr="00313B62" w:rsidRDefault="00C24A2D" w:rsidP="001C4D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Documentation of </w:t>
            </w:r>
            <w:r w:rsidRPr="00F22F1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failed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C4DE8">
              <w:rPr>
                <w:rFonts w:ascii="Calibri" w:hAnsi="Calibri" w:cs="Calibri"/>
                <w:b/>
                <w:sz w:val="22"/>
                <w:szCs w:val="22"/>
              </w:rPr>
              <w:t>first line osteomyelitis interventions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 </w:t>
            </w:r>
            <w:r w:rsidR="001C4DE8">
              <w:rPr>
                <w:rFonts w:ascii="Calibri" w:hAnsi="Calibri" w:cs="Calibri"/>
                <w:b/>
                <w:sz w:val="22"/>
                <w:szCs w:val="22"/>
              </w:rPr>
              <w:t xml:space="preserve">at least </w:t>
            </w:r>
            <w:r w:rsidRPr="005552B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six weeks</w:t>
            </w:r>
            <w:r w:rsidR="00F22F1D">
              <w:rPr>
                <w:rFonts w:ascii="Calibri" w:hAnsi="Calibri" w:cs="Calibri"/>
                <w:b/>
                <w:sz w:val="22"/>
                <w:szCs w:val="22"/>
              </w:rPr>
              <w:t xml:space="preserve"> to </w:t>
            </w:r>
            <w:r w:rsidR="00F22F1D" w:rsidRPr="005552B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all</w:t>
            </w:r>
            <w:r w:rsidR="00F22F1D">
              <w:rPr>
                <w:rFonts w:ascii="Calibri" w:hAnsi="Calibri" w:cs="Calibri"/>
                <w:b/>
                <w:sz w:val="22"/>
                <w:szCs w:val="22"/>
              </w:rPr>
              <w:t xml:space="preserve"> of the below</w:t>
            </w:r>
            <w:r w:rsidR="005552B5">
              <w:rPr>
                <w:rFonts w:ascii="Calibri" w:hAnsi="Calibri" w:cs="Calibri"/>
                <w:b/>
                <w:sz w:val="22"/>
                <w:szCs w:val="22"/>
              </w:rPr>
              <w:t xml:space="preserve"> to suppor</w:t>
            </w:r>
            <w:r w:rsidR="00C001A1">
              <w:rPr>
                <w:rFonts w:ascii="Calibri" w:hAnsi="Calibri" w:cs="Calibri"/>
                <w:b/>
                <w:sz w:val="22"/>
                <w:szCs w:val="22"/>
              </w:rPr>
              <w:t xml:space="preserve">t </w:t>
            </w:r>
            <w:r w:rsidR="001C4DE8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C001A1">
              <w:rPr>
                <w:rFonts w:ascii="Calibri" w:hAnsi="Calibri" w:cs="Calibri"/>
                <w:b/>
                <w:sz w:val="22"/>
                <w:szCs w:val="22"/>
              </w:rPr>
              <w:t xml:space="preserve"> chronic</w:t>
            </w:r>
            <w:r w:rsidR="005552B5">
              <w:rPr>
                <w:rFonts w:ascii="Calibri" w:hAnsi="Calibri" w:cs="Calibri"/>
                <w:b/>
                <w:sz w:val="22"/>
                <w:szCs w:val="22"/>
              </w:rPr>
              <w:t xml:space="preserve"> and refractory</w:t>
            </w:r>
            <w:r w:rsidR="001C4DE8">
              <w:rPr>
                <w:rFonts w:ascii="Calibri" w:hAnsi="Calibri" w:cs="Calibri"/>
                <w:b/>
                <w:sz w:val="22"/>
                <w:szCs w:val="22"/>
              </w:rPr>
              <w:t xml:space="preserve"> diagnosis</w:t>
            </w:r>
            <w:r w:rsidR="00CC5F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B0E5E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1C4DE8">
              <w:rPr>
                <w:rFonts w:ascii="Calibri" w:hAnsi="Calibri" w:cs="Calibri"/>
                <w:i/>
                <w:sz w:val="22"/>
                <w:szCs w:val="22"/>
              </w:rPr>
              <w:t>lack of adequate</w:t>
            </w:r>
            <w:r w:rsidRPr="00BB0E5E">
              <w:rPr>
                <w:rFonts w:ascii="Calibri" w:hAnsi="Calibri" w:cs="Calibri"/>
                <w:i/>
                <w:sz w:val="22"/>
                <w:szCs w:val="22"/>
              </w:rPr>
              <w:t xml:space="preserve"> response)</w:t>
            </w:r>
          </w:p>
        </w:tc>
      </w:tr>
      <w:tr w:rsidR="00CC5FB2" w:rsidRPr="00313B62" w14:paraId="08C804D8" w14:textId="77777777" w:rsidTr="00313B62">
        <w:tc>
          <w:tcPr>
            <w:tcW w:w="461" w:type="dxa"/>
          </w:tcPr>
          <w:p w14:paraId="36FE0BC5" w14:textId="77777777" w:rsidR="00CC5FB2" w:rsidRPr="00313B62" w:rsidRDefault="00CC5FB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4B1658B6" w14:textId="06A38E8A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33561748" w14:textId="5612EB53" w:rsidR="00CC5FB2" w:rsidRPr="00313B62" w:rsidRDefault="00D81CB2" w:rsidP="001C4D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CC5FB2">
              <w:rPr>
                <w:rFonts w:ascii="Calibri" w:hAnsi="Calibri" w:cs="Calibri"/>
                <w:sz w:val="22"/>
                <w:szCs w:val="22"/>
              </w:rPr>
              <w:t>ntibiotics for six weeks (name, dose, dates started &amp; stopped)</w:t>
            </w:r>
          </w:p>
        </w:tc>
      </w:tr>
      <w:tr w:rsidR="00CC5FB2" w:rsidRPr="00313B62" w14:paraId="0F989489" w14:textId="77777777" w:rsidTr="00313B62">
        <w:tc>
          <w:tcPr>
            <w:tcW w:w="461" w:type="dxa"/>
          </w:tcPr>
          <w:p w14:paraId="7C6E8438" w14:textId="77777777" w:rsidR="00CC5FB2" w:rsidRPr="00313B62" w:rsidRDefault="00CC5FB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36D34990" w14:textId="5110A2AF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62B9DE78" w14:textId="6C3A146A" w:rsidR="00CC5FB2" w:rsidRPr="00313B62" w:rsidRDefault="00D81CB2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F22F1D">
              <w:rPr>
                <w:rFonts w:ascii="Calibri" w:hAnsi="Calibri" w:cs="Calibri"/>
                <w:sz w:val="22"/>
                <w:szCs w:val="22"/>
              </w:rPr>
              <w:t>ate</w:t>
            </w:r>
            <w:r w:rsidR="00C001A1">
              <w:rPr>
                <w:rFonts w:ascii="Calibri" w:hAnsi="Calibri" w:cs="Calibri"/>
                <w:sz w:val="22"/>
                <w:szCs w:val="22"/>
              </w:rPr>
              <w:t>(s)</w:t>
            </w:r>
            <w:r w:rsidR="00CC5FB2">
              <w:rPr>
                <w:rFonts w:ascii="Calibri" w:hAnsi="Calibri" w:cs="Calibri"/>
                <w:sz w:val="22"/>
                <w:szCs w:val="22"/>
              </w:rPr>
              <w:t xml:space="preserve"> of previous debridement, or reason why </w:t>
            </w:r>
            <w:r>
              <w:rPr>
                <w:rFonts w:ascii="Calibri" w:hAnsi="Calibri" w:cs="Calibri"/>
                <w:sz w:val="22"/>
                <w:szCs w:val="22"/>
              </w:rPr>
              <w:t>debridement has not been performed</w:t>
            </w:r>
          </w:p>
        </w:tc>
      </w:tr>
      <w:tr w:rsidR="00CC5FB2" w:rsidRPr="00313B62" w14:paraId="6F5491EE" w14:textId="77777777" w:rsidTr="00313B62">
        <w:tc>
          <w:tcPr>
            <w:tcW w:w="461" w:type="dxa"/>
          </w:tcPr>
          <w:p w14:paraId="6B8717AB" w14:textId="77777777" w:rsidR="00CC5FB2" w:rsidRPr="00313B62" w:rsidRDefault="00CC5FB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38A3FB66" w14:textId="0F234032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05F050B3" w14:textId="4F10B565" w:rsidR="00CC5FB2" w:rsidRPr="00313B62" w:rsidRDefault="00D81CB2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F22F1D">
              <w:rPr>
                <w:rFonts w:ascii="Calibri" w:hAnsi="Calibri" w:cs="Calibri"/>
                <w:sz w:val="22"/>
                <w:szCs w:val="22"/>
              </w:rPr>
              <w:t>ypes of previous local wound care</w:t>
            </w:r>
          </w:p>
        </w:tc>
      </w:tr>
      <w:tr w:rsidR="00F22F1D" w:rsidRPr="00313B62" w14:paraId="200B85E1" w14:textId="77777777" w:rsidTr="00313B62">
        <w:tc>
          <w:tcPr>
            <w:tcW w:w="461" w:type="dxa"/>
          </w:tcPr>
          <w:p w14:paraId="66D9D02D" w14:textId="77777777" w:rsidR="00F22F1D" w:rsidRPr="00313B62" w:rsidRDefault="00F22F1D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4D1430E1" w14:textId="1D1ED281" w:rsidR="00F22F1D" w:rsidRPr="00313B62" w:rsidRDefault="00F22F1D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1AA3FC1C" w14:textId="45E70263" w:rsidR="00F22F1D" w:rsidRDefault="00C001A1" w:rsidP="001C4D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F22F1D">
              <w:rPr>
                <w:rFonts w:ascii="Calibri" w:hAnsi="Calibri" w:cs="Calibri"/>
                <w:sz w:val="22"/>
                <w:szCs w:val="22"/>
              </w:rPr>
              <w:t xml:space="preserve">eans to offload, as appropriate to </w:t>
            </w:r>
            <w:r w:rsidR="001C4DE8">
              <w:rPr>
                <w:rFonts w:ascii="Calibri" w:hAnsi="Calibri" w:cs="Calibri"/>
                <w:sz w:val="22"/>
                <w:szCs w:val="22"/>
              </w:rPr>
              <w:t>anatomic site</w:t>
            </w:r>
          </w:p>
        </w:tc>
      </w:tr>
      <w:tr w:rsidR="00CC5FB2" w:rsidRPr="00313B62" w14:paraId="5268F684" w14:textId="77777777" w:rsidTr="00313B62">
        <w:tc>
          <w:tcPr>
            <w:tcW w:w="461" w:type="dxa"/>
          </w:tcPr>
          <w:p w14:paraId="3D11D0E0" w14:textId="77777777" w:rsidR="00CC5FB2" w:rsidRPr="00313B62" w:rsidRDefault="00CC5FB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6F86F584" w14:textId="77777777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2785C87C" w14:textId="267152EB" w:rsidR="00CC5FB2" w:rsidRPr="00313B62" w:rsidRDefault="00C001A1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CC5FB2" w:rsidRPr="00313B62">
              <w:rPr>
                <w:rFonts w:ascii="Calibri" w:hAnsi="Calibri" w:cs="Calibri"/>
                <w:sz w:val="22"/>
                <w:szCs w:val="22"/>
              </w:rPr>
              <w:t>ame(s) of person(s) who provided previous care</w:t>
            </w:r>
          </w:p>
        </w:tc>
      </w:tr>
      <w:tr w:rsidR="00CC5FB2" w:rsidRPr="00313B62" w14:paraId="16C9E39E" w14:textId="77777777" w:rsidTr="00313B62">
        <w:tc>
          <w:tcPr>
            <w:tcW w:w="461" w:type="dxa"/>
          </w:tcPr>
          <w:p w14:paraId="1FC60C02" w14:textId="77777777" w:rsidR="00CC5FB2" w:rsidRPr="00313B62" w:rsidRDefault="00CC5FB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0BC76B57" w14:textId="77777777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7C6DAE6F" w14:textId="3EE98C1E" w:rsidR="00CC5FB2" w:rsidRPr="00313B62" w:rsidRDefault="00C001A1" w:rsidP="001C4D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CC5FB2" w:rsidRPr="00313B62">
              <w:rPr>
                <w:rFonts w:ascii="Calibri" w:hAnsi="Calibri" w:cs="Calibri"/>
                <w:sz w:val="22"/>
                <w:szCs w:val="22"/>
              </w:rPr>
              <w:t xml:space="preserve">ates of </w:t>
            </w:r>
            <w:r w:rsidR="001C4DE8">
              <w:rPr>
                <w:rFonts w:ascii="Calibri" w:hAnsi="Calibri" w:cs="Calibri"/>
                <w:sz w:val="22"/>
                <w:szCs w:val="22"/>
              </w:rPr>
              <w:t>prev</w:t>
            </w:r>
            <w:r w:rsidR="00CC5FB2" w:rsidRPr="00313B62">
              <w:rPr>
                <w:rFonts w:ascii="Calibri" w:hAnsi="Calibri" w:cs="Calibri"/>
                <w:sz w:val="22"/>
                <w:szCs w:val="22"/>
              </w:rPr>
              <w:t>ious treatment</w:t>
            </w:r>
            <w:r w:rsidR="001C4DE8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</w:tr>
      <w:tr w:rsidR="00CC5FB2" w:rsidRPr="00313B62" w14:paraId="6B80C5B8" w14:textId="77777777" w:rsidTr="00003AE5">
        <w:tc>
          <w:tcPr>
            <w:tcW w:w="461" w:type="dxa"/>
          </w:tcPr>
          <w:p w14:paraId="4B4B66A4" w14:textId="3AF7C3D4" w:rsidR="00CC5FB2" w:rsidRPr="00C001A1" w:rsidRDefault="00C001A1" w:rsidP="00C00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C001A1">
              <w:rPr>
                <w:rFonts w:ascii="Calibri" w:hAnsi="Calibri" w:cs="Calibri"/>
                <w:b/>
                <w:sz w:val="20"/>
                <w:szCs w:val="22"/>
              </w:rPr>
              <w:t>C.</w:t>
            </w:r>
          </w:p>
        </w:tc>
        <w:tc>
          <w:tcPr>
            <w:tcW w:w="9835" w:type="dxa"/>
            <w:gridSpan w:val="2"/>
          </w:tcPr>
          <w:p w14:paraId="26AD902D" w14:textId="2D437532" w:rsidR="00CC5FB2" w:rsidRPr="00313B62" w:rsidRDefault="00C001A1" w:rsidP="005C369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Assessment of </w:t>
            </w:r>
            <w:r w:rsidR="00CC5FB2" w:rsidRPr="00313B62">
              <w:rPr>
                <w:rFonts w:ascii="Calibri" w:hAnsi="Calibri" w:cs="Calibri"/>
                <w:b/>
                <w:sz w:val="22"/>
                <w:szCs w:val="22"/>
              </w:rPr>
              <w:t>nutritional status has been perf</w:t>
            </w:r>
            <w:r w:rsidR="005552B5">
              <w:rPr>
                <w:rFonts w:ascii="Calibri" w:hAnsi="Calibri" w:cs="Calibri"/>
                <w:b/>
                <w:sz w:val="22"/>
                <w:szCs w:val="22"/>
              </w:rPr>
              <w:t>ormed &amp; optimized during six weeks</w:t>
            </w:r>
            <w:r w:rsidR="00CC5FB2" w:rsidRPr="00313B62">
              <w:rPr>
                <w:rFonts w:ascii="Calibri" w:hAnsi="Calibri" w:cs="Calibri"/>
                <w:b/>
                <w:sz w:val="22"/>
                <w:szCs w:val="22"/>
              </w:rPr>
              <w:t xml:space="preserve"> prior to HBO</w:t>
            </w:r>
            <w:r w:rsidR="00CC5F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C5FB2" w:rsidRPr="005C3690">
              <w:rPr>
                <w:rFonts w:ascii="Calibri" w:hAnsi="Calibri" w:cs="Calibri"/>
                <w:i/>
                <w:sz w:val="20"/>
                <w:szCs w:val="22"/>
              </w:rPr>
              <w:t>(must have documented results of at least one of the following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 xml:space="preserve"> diagnostics &amp; measures taken to optimize</w:t>
            </w:r>
            <w:r w:rsidR="00CC5FB2" w:rsidRPr="005C3690">
              <w:rPr>
                <w:rFonts w:ascii="Calibri" w:hAnsi="Calibri" w:cs="Calibri"/>
                <w:i/>
                <w:sz w:val="20"/>
                <w:szCs w:val="22"/>
              </w:rPr>
              <w:t>)</w:t>
            </w:r>
          </w:p>
        </w:tc>
      </w:tr>
      <w:tr w:rsidR="00CC5FB2" w:rsidRPr="00313B62" w14:paraId="53870414" w14:textId="77777777" w:rsidTr="00313B62">
        <w:tc>
          <w:tcPr>
            <w:tcW w:w="461" w:type="dxa"/>
          </w:tcPr>
          <w:p w14:paraId="462E0699" w14:textId="77777777" w:rsidR="00CC5FB2" w:rsidRPr="00313B62" w:rsidRDefault="00CC5FB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6EC00501" w14:textId="77777777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578CE701" w14:textId="77777777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Albumin</w:t>
            </w:r>
          </w:p>
        </w:tc>
      </w:tr>
      <w:tr w:rsidR="00CC5FB2" w:rsidRPr="00313B62" w14:paraId="13366E88" w14:textId="77777777" w:rsidTr="00313B62">
        <w:tc>
          <w:tcPr>
            <w:tcW w:w="461" w:type="dxa"/>
          </w:tcPr>
          <w:p w14:paraId="7DB4509F" w14:textId="77777777" w:rsidR="00CC5FB2" w:rsidRPr="00313B62" w:rsidRDefault="00CC5FB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0985F068" w14:textId="77777777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72647702" w14:textId="77777777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13B62">
              <w:rPr>
                <w:rFonts w:ascii="Calibri" w:hAnsi="Calibri" w:cs="Calibri"/>
                <w:sz w:val="22"/>
                <w:szCs w:val="22"/>
              </w:rPr>
              <w:t>Prealbumin</w:t>
            </w:r>
            <w:proofErr w:type="spellEnd"/>
          </w:p>
        </w:tc>
      </w:tr>
      <w:tr w:rsidR="00CC5FB2" w:rsidRPr="00313B62" w14:paraId="3E4CD7EA" w14:textId="77777777" w:rsidTr="00313B62">
        <w:tc>
          <w:tcPr>
            <w:tcW w:w="461" w:type="dxa"/>
          </w:tcPr>
          <w:p w14:paraId="2A3B12FA" w14:textId="77777777" w:rsidR="00CC5FB2" w:rsidRPr="00313B62" w:rsidRDefault="00CC5FB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3753C3CF" w14:textId="77777777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238B9E83" w14:textId="77777777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Total Protein</w:t>
            </w:r>
          </w:p>
        </w:tc>
      </w:tr>
      <w:tr w:rsidR="00CC5FB2" w:rsidRPr="00313B62" w14:paraId="56C0C3A4" w14:textId="77777777" w:rsidTr="00313B62">
        <w:tc>
          <w:tcPr>
            <w:tcW w:w="461" w:type="dxa"/>
          </w:tcPr>
          <w:p w14:paraId="2503FB0F" w14:textId="77777777" w:rsidR="00CC5FB2" w:rsidRPr="00313B62" w:rsidRDefault="00CC5FB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24C33A21" w14:textId="77777777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7099C8FF" w14:textId="3ED01E4A" w:rsidR="00CC5FB2" w:rsidRPr="00313B62" w:rsidRDefault="00CC5FB2" w:rsidP="004977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 xml:space="preserve">Measures to address deficiencies </w:t>
            </w:r>
            <w:r w:rsidR="00497713">
              <w:rPr>
                <w:rFonts w:ascii="Calibri" w:hAnsi="Calibri" w:cs="Calibri"/>
                <w:sz w:val="22"/>
                <w:szCs w:val="22"/>
              </w:rPr>
              <w:t>have been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01A1">
              <w:rPr>
                <w:rFonts w:ascii="Calibri" w:hAnsi="Calibri" w:cs="Calibri"/>
                <w:sz w:val="22"/>
                <w:szCs w:val="22"/>
              </w:rPr>
              <w:t>under</w:t>
            </w:r>
            <w:r w:rsidRPr="00313B62">
              <w:rPr>
                <w:rFonts w:ascii="Calibri" w:hAnsi="Calibri" w:cs="Calibri"/>
                <w:sz w:val="22"/>
                <w:szCs w:val="22"/>
              </w:rPr>
              <w:t>taken and documented</w:t>
            </w:r>
          </w:p>
        </w:tc>
      </w:tr>
      <w:tr w:rsidR="00CC5FB2" w:rsidRPr="00313B62" w14:paraId="15C15A5C" w14:textId="77777777" w:rsidTr="00003AE5">
        <w:tc>
          <w:tcPr>
            <w:tcW w:w="461" w:type="dxa"/>
          </w:tcPr>
          <w:p w14:paraId="3C1E3EB9" w14:textId="4C6D7A37" w:rsidR="00CC5FB2" w:rsidRPr="00C001A1" w:rsidRDefault="00C001A1" w:rsidP="00C00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C001A1">
              <w:rPr>
                <w:rFonts w:ascii="Calibri" w:hAnsi="Calibri" w:cs="Calibri"/>
                <w:b/>
                <w:sz w:val="20"/>
                <w:szCs w:val="22"/>
              </w:rPr>
              <w:t>D.</w:t>
            </w:r>
          </w:p>
        </w:tc>
        <w:tc>
          <w:tcPr>
            <w:tcW w:w="9835" w:type="dxa"/>
            <w:gridSpan w:val="2"/>
          </w:tcPr>
          <w:p w14:paraId="6F59185E" w14:textId="6FB65E68" w:rsidR="00CC5FB2" w:rsidRDefault="00C001A1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Assessment of </w:t>
            </w:r>
            <w:r w:rsidR="00CC5FB2" w:rsidRPr="00313B62">
              <w:rPr>
                <w:rFonts w:ascii="Calibri" w:hAnsi="Calibri" w:cs="Calibri"/>
                <w:b/>
                <w:sz w:val="22"/>
                <w:szCs w:val="22"/>
              </w:rPr>
              <w:t>glucose control has been perf</w:t>
            </w:r>
            <w:r w:rsidR="005552B5">
              <w:rPr>
                <w:rFonts w:ascii="Calibri" w:hAnsi="Calibri" w:cs="Calibri"/>
                <w:b/>
                <w:sz w:val="22"/>
                <w:szCs w:val="22"/>
              </w:rPr>
              <w:t>ormed &amp; optimized during six weeks</w:t>
            </w:r>
            <w:r w:rsidR="00CC5FB2" w:rsidRPr="00313B62">
              <w:rPr>
                <w:rFonts w:ascii="Calibri" w:hAnsi="Calibri" w:cs="Calibri"/>
                <w:b/>
                <w:sz w:val="22"/>
                <w:szCs w:val="22"/>
              </w:rPr>
              <w:t xml:space="preserve"> prior to HBO</w:t>
            </w:r>
            <w:r w:rsidR="00532E5F">
              <w:rPr>
                <w:rFonts w:ascii="Calibri" w:hAnsi="Calibri" w:cs="Calibri"/>
                <w:b/>
                <w:sz w:val="22"/>
                <w:szCs w:val="22"/>
              </w:rPr>
              <w:t xml:space="preserve"> for diabetic patients</w:t>
            </w:r>
          </w:p>
          <w:p w14:paraId="4808D432" w14:textId="4FAE8C9B" w:rsidR="00CC5FB2" w:rsidRPr="00313B62" w:rsidRDefault="00CC5FB2" w:rsidP="00D42D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313B62">
              <w:rPr>
                <w:rFonts w:ascii="Calibri" w:hAnsi="Calibri" w:cs="Calibri"/>
                <w:i/>
                <w:sz w:val="20"/>
                <w:szCs w:val="20"/>
              </w:rPr>
              <w:t xml:space="preserve">(must have documented results of at least one of the following </w:t>
            </w:r>
            <w:r w:rsidR="00C001A1">
              <w:rPr>
                <w:rFonts w:ascii="Calibri" w:hAnsi="Calibri" w:cs="Calibri"/>
                <w:i/>
                <w:sz w:val="20"/>
                <w:szCs w:val="20"/>
              </w:rPr>
              <w:t xml:space="preserve">two </w:t>
            </w:r>
            <w:r w:rsidR="00D42D4C" w:rsidRPr="00313B62">
              <w:rPr>
                <w:rFonts w:ascii="Calibri" w:hAnsi="Calibri" w:cs="Calibri"/>
                <w:i/>
                <w:sz w:val="20"/>
                <w:szCs w:val="20"/>
              </w:rPr>
              <w:t>diagnos</w:t>
            </w:r>
            <w:r w:rsidR="00D42D4C">
              <w:rPr>
                <w:rFonts w:ascii="Calibri" w:hAnsi="Calibri" w:cs="Calibri"/>
                <w:i/>
                <w:sz w:val="20"/>
                <w:szCs w:val="20"/>
              </w:rPr>
              <w:t>es’</w:t>
            </w:r>
            <w:r w:rsidR="00C001A1">
              <w:rPr>
                <w:rFonts w:ascii="Calibri" w:hAnsi="Calibri" w:cs="Calibri"/>
                <w:i/>
                <w:sz w:val="20"/>
                <w:szCs w:val="20"/>
              </w:rPr>
              <w:t xml:space="preserve"> &amp; measures taken to optimize</w:t>
            </w:r>
            <w:r w:rsidRPr="00313B6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CC5FB2" w:rsidRPr="00313B62" w14:paraId="36025066" w14:textId="77777777" w:rsidTr="00313B62">
        <w:tc>
          <w:tcPr>
            <w:tcW w:w="461" w:type="dxa"/>
          </w:tcPr>
          <w:p w14:paraId="35B426E2" w14:textId="77777777" w:rsidR="00CC5FB2" w:rsidRPr="00313B62" w:rsidRDefault="00CC5FB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5B446D10" w14:textId="77777777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6B18EB28" w14:textId="77777777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Serial blood glucose</w:t>
            </w:r>
          </w:p>
        </w:tc>
      </w:tr>
      <w:tr w:rsidR="00CC5FB2" w:rsidRPr="00313B62" w14:paraId="48F009C7" w14:textId="77777777" w:rsidTr="00313B62">
        <w:tc>
          <w:tcPr>
            <w:tcW w:w="461" w:type="dxa"/>
          </w:tcPr>
          <w:p w14:paraId="11D31E11" w14:textId="77777777" w:rsidR="00CC5FB2" w:rsidRPr="00313B62" w:rsidRDefault="00CC5FB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6B3530D0" w14:textId="77777777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729E9611" w14:textId="77777777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Hemoglobin A1C</w:t>
            </w:r>
          </w:p>
        </w:tc>
      </w:tr>
      <w:tr w:rsidR="00CC5FB2" w:rsidRPr="00313B62" w14:paraId="235F6425" w14:textId="77777777" w:rsidTr="00313B62">
        <w:tc>
          <w:tcPr>
            <w:tcW w:w="461" w:type="dxa"/>
          </w:tcPr>
          <w:p w14:paraId="3BB3FE05" w14:textId="77777777" w:rsidR="00CC5FB2" w:rsidRPr="00313B62" w:rsidRDefault="00CC5FB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0324E0C9" w14:textId="77777777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38D01FC4" w14:textId="2FC2C03F" w:rsidR="00CC5FB2" w:rsidRPr="00313B62" w:rsidRDefault="00CC5FB2" w:rsidP="005C369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Documentation</w:t>
            </w:r>
            <w:r w:rsidR="00C001A1">
              <w:rPr>
                <w:rFonts w:ascii="Calibri" w:hAnsi="Calibri" w:cs="Calibri"/>
                <w:sz w:val="22"/>
                <w:szCs w:val="22"/>
              </w:rPr>
              <w:t xml:space="preserve"> of measures taken to address poorly 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controlled blood glucose </w:t>
            </w:r>
            <w:r w:rsidRPr="00313B62">
              <w:rPr>
                <w:rFonts w:ascii="Calibri" w:hAnsi="Calibri" w:cs="Calibri"/>
                <w:i/>
                <w:sz w:val="20"/>
                <w:szCs w:val="20"/>
              </w:rPr>
              <w:t>(must be more than  “it is being managed by PCP”)</w:t>
            </w:r>
          </w:p>
        </w:tc>
      </w:tr>
      <w:tr w:rsidR="00CC5FB2" w:rsidRPr="00313B62" w14:paraId="437C7E85" w14:textId="77777777" w:rsidTr="00003AE5">
        <w:tc>
          <w:tcPr>
            <w:tcW w:w="461" w:type="dxa"/>
          </w:tcPr>
          <w:p w14:paraId="252E9DD1" w14:textId="67BD2A0A" w:rsidR="00CC5FB2" w:rsidRPr="00C001A1" w:rsidRDefault="00C001A1" w:rsidP="00C00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C001A1">
              <w:rPr>
                <w:rFonts w:ascii="Calibri" w:hAnsi="Calibri" w:cs="Calibri"/>
                <w:b/>
                <w:sz w:val="20"/>
                <w:szCs w:val="22"/>
              </w:rPr>
              <w:t>E.</w:t>
            </w:r>
          </w:p>
        </w:tc>
        <w:tc>
          <w:tcPr>
            <w:tcW w:w="9835" w:type="dxa"/>
            <w:gridSpan w:val="2"/>
          </w:tcPr>
          <w:p w14:paraId="08691CA4" w14:textId="6AA523FA" w:rsidR="00CC5FB2" w:rsidRPr="00313B62" w:rsidRDefault="00497713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Any related l</w:t>
            </w:r>
            <w:r w:rsidR="00CC5FB2" w:rsidRPr="00313B62">
              <w:rPr>
                <w:rFonts w:ascii="Calibri" w:hAnsi="Calibri" w:cs="Calibri"/>
                <w:b/>
                <w:sz w:val="22"/>
                <w:szCs w:val="22"/>
              </w:rPr>
              <w:t xml:space="preserve">ocal wound care </w:t>
            </w:r>
            <w:r w:rsidR="00532E5F">
              <w:rPr>
                <w:rFonts w:ascii="Calibri" w:hAnsi="Calibri" w:cs="Calibri"/>
                <w:b/>
                <w:sz w:val="22"/>
                <w:szCs w:val="22"/>
              </w:rPr>
              <w:t xml:space="preserve">provided during treatment with HBO </w:t>
            </w:r>
            <w:r w:rsidR="00CC5FB2" w:rsidRPr="00313B62">
              <w:rPr>
                <w:rFonts w:ascii="Calibri" w:hAnsi="Calibri" w:cs="Calibri"/>
                <w:b/>
                <w:sz w:val="22"/>
                <w:szCs w:val="22"/>
              </w:rPr>
              <w:t>must include all of the following:</w:t>
            </w:r>
          </w:p>
        </w:tc>
      </w:tr>
      <w:tr w:rsidR="00CC5FB2" w:rsidRPr="00313B62" w14:paraId="7A199695" w14:textId="77777777" w:rsidTr="005C3690">
        <w:tc>
          <w:tcPr>
            <w:tcW w:w="461" w:type="dxa"/>
          </w:tcPr>
          <w:p w14:paraId="1A0E7DF9" w14:textId="77777777" w:rsidR="00CC5FB2" w:rsidRPr="00313B62" w:rsidRDefault="00CC5FB2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39038223" w14:textId="77777777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56A459E5" w14:textId="77777777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Documentation of maintenance of a clean, moist bed of granulation tissue</w:t>
            </w:r>
          </w:p>
        </w:tc>
      </w:tr>
      <w:tr w:rsidR="00CC5FB2" w:rsidRPr="00313B62" w14:paraId="100CB131" w14:textId="77777777" w:rsidTr="005C3690">
        <w:tc>
          <w:tcPr>
            <w:tcW w:w="461" w:type="dxa"/>
          </w:tcPr>
          <w:p w14:paraId="42B2BDA7" w14:textId="77777777" w:rsidR="00CC5FB2" w:rsidRPr="00313B62" w:rsidRDefault="00CC5FB2" w:rsidP="00313B62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5E227C51" w14:textId="77777777" w:rsidR="00CC5FB2" w:rsidRPr="00313B62" w:rsidRDefault="00CC5FB2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6C0828A8" w14:textId="77777777" w:rsidR="00CC5FB2" w:rsidRPr="00313B62" w:rsidRDefault="00CC5FB2" w:rsidP="0057149A">
            <w:pPr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Documentation of utilization of appropriate moist wound dressings</w:t>
            </w:r>
          </w:p>
        </w:tc>
      </w:tr>
      <w:tr w:rsidR="00C001A1" w:rsidRPr="00313B62" w14:paraId="238202FC" w14:textId="77777777" w:rsidTr="005C3690">
        <w:tc>
          <w:tcPr>
            <w:tcW w:w="461" w:type="dxa"/>
          </w:tcPr>
          <w:p w14:paraId="7F27AA85" w14:textId="77777777" w:rsidR="00C001A1" w:rsidRPr="00313B62" w:rsidRDefault="00C001A1" w:rsidP="00313B62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2FC5AD39" w14:textId="55863A3F" w:rsidR="00C001A1" w:rsidRPr="00313B62" w:rsidRDefault="00C001A1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F27CA">
              <w:rPr>
                <w:rFonts w:ascii="Calibri" w:hAnsi="Calibri" w:cs="Calibri"/>
                <w:sz w:val="20"/>
                <w:szCs w:val="20"/>
              </w:rPr>
            </w:r>
            <w:r w:rsidR="001F27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74" w:type="dxa"/>
          </w:tcPr>
          <w:p w14:paraId="4D9335C1" w14:textId="39D7E48B" w:rsidR="00C001A1" w:rsidRPr="00313B62" w:rsidRDefault="000C49C5" w:rsidP="005714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>O</w:t>
            </w:r>
            <w:r w:rsidRPr="00313B62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>ffload</w:t>
            </w:r>
            <w:r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>ing, as appropriate to anatomical location</w:t>
            </w:r>
          </w:p>
        </w:tc>
      </w:tr>
      <w:tr w:rsidR="00CC5FB2" w:rsidRPr="00E545AA" w14:paraId="48C9AB06" w14:textId="77777777" w:rsidTr="0057149A">
        <w:tc>
          <w:tcPr>
            <w:tcW w:w="10296" w:type="dxa"/>
            <w:gridSpan w:val="3"/>
          </w:tcPr>
          <w:p w14:paraId="3A1167D8" w14:textId="2CA2709B" w:rsidR="00CC5FB2" w:rsidRPr="00E545AA" w:rsidRDefault="005552B5" w:rsidP="00497713">
            <w:pPr>
              <w:spacing w:before="240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 xml:space="preserve">Additional </w:t>
            </w:r>
            <w:r w:rsidR="00497713">
              <w:rPr>
                <w:rFonts w:ascii="Calibri" w:hAnsi="Calibri" w:cs="Calibri"/>
                <w:b/>
                <w:smallCaps/>
                <w:sz w:val="28"/>
                <w:szCs w:val="28"/>
              </w:rPr>
              <w:t>Guidance</w:t>
            </w:r>
          </w:p>
        </w:tc>
      </w:tr>
      <w:tr w:rsidR="00F22F1D" w:rsidRPr="00313B62" w14:paraId="41A41FA3" w14:textId="77777777" w:rsidTr="00003AE5">
        <w:tc>
          <w:tcPr>
            <w:tcW w:w="461" w:type="dxa"/>
          </w:tcPr>
          <w:p w14:paraId="03B64463" w14:textId="71B67121" w:rsidR="00F22F1D" w:rsidRPr="00C6406E" w:rsidRDefault="00C6406E" w:rsidP="00C640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  <w:bookmarkStart w:id="2" w:name="_GoBack" w:colFirst="1" w:colLast="1"/>
            <w:r w:rsidRPr="00C6406E"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9835" w:type="dxa"/>
            <w:gridSpan w:val="2"/>
          </w:tcPr>
          <w:p w14:paraId="026A434A" w14:textId="46B8D40C" w:rsidR="00F22F1D" w:rsidRPr="00313B62" w:rsidRDefault="00C6406E" w:rsidP="001F27C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Diabetes is an integral and required diag</w:t>
            </w:r>
            <w:r w:rsidR="00532E5F">
              <w:rPr>
                <w:rFonts w:ascii="Calibri" w:hAnsi="Calibri" w:cs="Calibri"/>
                <w:sz w:val="22"/>
                <w:szCs w:val="22"/>
              </w:rPr>
              <w:t xml:space="preserve">nosis for HBO </w:t>
            </w:r>
            <w:r w:rsidR="00C001A1">
              <w:rPr>
                <w:rFonts w:ascii="Calibri" w:hAnsi="Calibri" w:cs="Calibri"/>
                <w:sz w:val="22"/>
                <w:szCs w:val="22"/>
              </w:rPr>
              <w:t xml:space="preserve">when </w:t>
            </w:r>
            <w:r>
              <w:rPr>
                <w:rFonts w:ascii="Calibri" w:hAnsi="Calibri" w:cs="Calibri"/>
                <w:sz w:val="22"/>
                <w:szCs w:val="22"/>
              </w:rPr>
              <w:t>provided for the treatment of a diabetic ulcer, Wagner III</w:t>
            </w:r>
            <w:r w:rsidR="00197B40">
              <w:rPr>
                <w:rFonts w:ascii="Calibri" w:hAnsi="Calibri" w:cs="Calibri"/>
                <w:sz w:val="22"/>
                <w:szCs w:val="22"/>
              </w:rPr>
              <w:t xml:space="preserve"> or higher.</w:t>
            </w:r>
          </w:p>
        </w:tc>
      </w:tr>
      <w:tr w:rsidR="00CC5FB2" w:rsidRPr="00313B62" w14:paraId="6B846907" w14:textId="77777777" w:rsidTr="00003AE5">
        <w:tc>
          <w:tcPr>
            <w:tcW w:w="461" w:type="dxa"/>
          </w:tcPr>
          <w:p w14:paraId="7BB2F20C" w14:textId="702EE261" w:rsidR="00CC5FB2" w:rsidRPr="00C6406E" w:rsidRDefault="00C6406E" w:rsidP="00C640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  <w:r w:rsidRPr="00C6406E">
              <w:rPr>
                <w:rFonts w:ascii="Calibri" w:hAnsi="Calibri" w:cs="Calibri"/>
                <w:sz w:val="20"/>
                <w:szCs w:val="22"/>
              </w:rPr>
              <w:t>2.</w:t>
            </w:r>
            <w:r w:rsidR="005552B5" w:rsidRPr="00C6406E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9835" w:type="dxa"/>
            <w:gridSpan w:val="2"/>
          </w:tcPr>
          <w:p w14:paraId="1AFCB3A4" w14:textId="0ABC5812" w:rsidR="00CC5FB2" w:rsidRPr="00C6406E" w:rsidRDefault="00C6406E" w:rsidP="001F27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Diabetes </w:t>
            </w:r>
            <w:r w:rsidRPr="00532E5F">
              <w:rPr>
                <w:rFonts w:ascii="Calibri" w:hAnsi="Calibri" w:cs="Calibri"/>
                <w:sz w:val="22"/>
                <w:szCs w:val="22"/>
                <w:u w:val="single"/>
              </w:rPr>
              <w:t>is not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 integral or r</w:t>
            </w:r>
            <w:r w:rsidR="00C001A1">
              <w:rPr>
                <w:rFonts w:ascii="Calibri" w:hAnsi="Calibri" w:cs="Calibri"/>
                <w:sz w:val="22"/>
                <w:szCs w:val="22"/>
              </w:rPr>
              <w:t xml:space="preserve">equired diagnosis for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HBO </w:t>
            </w:r>
            <w:r w:rsidR="00C001A1">
              <w:rPr>
                <w:rFonts w:ascii="Calibri" w:hAnsi="Calibri" w:cs="Calibri"/>
                <w:sz w:val="22"/>
                <w:szCs w:val="22"/>
              </w:rPr>
              <w:t xml:space="preserve">when provided </w:t>
            </w:r>
            <w:r>
              <w:rPr>
                <w:rFonts w:ascii="Calibri" w:hAnsi="Calibri" w:cs="Calibri"/>
                <w:sz w:val="22"/>
                <w:szCs w:val="22"/>
              </w:rPr>
              <w:t>for the treatment of chronic refractory osteomyelitis.</w:t>
            </w:r>
          </w:p>
        </w:tc>
      </w:tr>
      <w:tr w:rsidR="005552B5" w:rsidRPr="00313B62" w14:paraId="3F12B9F5" w14:textId="77777777" w:rsidTr="005552B5">
        <w:tc>
          <w:tcPr>
            <w:tcW w:w="461" w:type="dxa"/>
          </w:tcPr>
          <w:p w14:paraId="021536C5" w14:textId="6DA41834" w:rsidR="005552B5" w:rsidRPr="00313B62" w:rsidRDefault="00C6406E" w:rsidP="00C6406E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3.</w:t>
            </w:r>
          </w:p>
        </w:tc>
        <w:tc>
          <w:tcPr>
            <w:tcW w:w="9835" w:type="dxa"/>
            <w:gridSpan w:val="2"/>
          </w:tcPr>
          <w:p w14:paraId="51FF0294" w14:textId="29433E77" w:rsidR="005552B5" w:rsidRPr="00C6406E" w:rsidRDefault="00532E5F" w:rsidP="001F27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Vascular status should be evaluated and approached appropriately when lower e</w:t>
            </w:r>
            <w:r w:rsidR="00C001A1">
              <w:rPr>
                <w:rFonts w:ascii="Calibri" w:hAnsi="Calibri" w:cs="Calibri"/>
                <w:sz w:val="22"/>
                <w:szCs w:val="22"/>
              </w:rPr>
              <w:t xml:space="preserve">xtremities are involved, but abnormal perfusion does </w:t>
            </w:r>
            <w:r>
              <w:rPr>
                <w:rFonts w:ascii="Calibri" w:hAnsi="Calibri" w:cs="Calibri"/>
                <w:sz w:val="22"/>
                <w:szCs w:val="22"/>
              </w:rPr>
              <w:t>not qualify the patient for HBO without meeting the other specific medical</w:t>
            </w:r>
            <w:r w:rsidR="00BB0E5E">
              <w:rPr>
                <w:rFonts w:ascii="Calibri" w:hAnsi="Calibri" w:cs="Calibri"/>
                <w:sz w:val="22"/>
                <w:szCs w:val="22"/>
              </w:rPr>
              <w:t>ly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necess</w:t>
            </w:r>
            <w:r w:rsidR="00BB0E5E">
              <w:rPr>
                <w:rFonts w:ascii="Calibri" w:hAnsi="Calibri" w:cs="Calibri"/>
                <w:sz w:val="22"/>
                <w:szCs w:val="22"/>
              </w:rPr>
              <w:t>ary</w:t>
            </w:r>
            <w:r w:rsidR="00C001A1">
              <w:rPr>
                <w:rFonts w:ascii="Calibri" w:hAnsi="Calibri" w:cs="Calibri"/>
                <w:sz w:val="22"/>
                <w:szCs w:val="22"/>
              </w:rPr>
              <w:t xml:space="preserve"> criteria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bookmarkEnd w:id="2"/>
    </w:tbl>
    <w:p w14:paraId="29AAA6C0" w14:textId="77777777" w:rsidR="00D255B4" w:rsidRPr="00003AE5" w:rsidRDefault="00D255B4" w:rsidP="00003AE5">
      <w:pPr>
        <w:rPr>
          <w:rFonts w:asciiTheme="majorHAnsi" w:hAnsiTheme="majorHAnsi" w:cstheme="majorHAnsi"/>
          <w:sz w:val="20"/>
          <w:szCs w:val="20"/>
        </w:rPr>
      </w:pPr>
    </w:p>
    <w:sectPr w:rsidR="00D255B4" w:rsidRPr="00003AE5" w:rsidSect="00497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810" w:left="1080" w:header="36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FC3BF" w14:textId="77777777" w:rsidR="00336368" w:rsidRDefault="00336368" w:rsidP="008D21BC">
      <w:r>
        <w:separator/>
      </w:r>
    </w:p>
  </w:endnote>
  <w:endnote w:type="continuationSeparator" w:id="0">
    <w:p w14:paraId="4FF02A31" w14:textId="77777777" w:rsidR="00336368" w:rsidRDefault="00336368" w:rsidP="008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13A0B" w14:textId="77777777" w:rsidR="00197B40" w:rsidRDefault="00197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D81D0" w14:textId="300B9716" w:rsidR="00C6406E" w:rsidRPr="00003AE5" w:rsidRDefault="00C6406E" w:rsidP="00003AE5">
    <w:pPr>
      <w:widowControl w:val="0"/>
      <w:autoSpaceDE w:val="0"/>
      <w:autoSpaceDN w:val="0"/>
      <w:adjustRightInd w:val="0"/>
      <w:rPr>
        <w:rFonts w:asciiTheme="majorHAnsi" w:hAnsiTheme="majorHAnsi" w:cstheme="majorHAnsi"/>
      </w:rPr>
    </w:pPr>
    <w:r w:rsidRPr="00F878EA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 xml:space="preserve">NOTE: This checklist is to be used as an educational reference audit tool only and is not to be included as part of any patient medical record under any circumstances                                                                                                                                                                           </w:t>
    </w:r>
    <w:r w:rsidR="00197B40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 xml:space="preserve">                         </w:t>
    </w:r>
    <w:r w:rsidR="00197B40">
      <w:rPr>
        <w:rFonts w:asciiTheme="majorHAnsi" w:hAnsiTheme="majorHAnsi" w:cstheme="majorHAnsi"/>
        <w:b/>
        <w:color w:val="0070C0"/>
        <w:sz w:val="16"/>
        <w:szCs w:val="16"/>
      </w:rPr>
      <w:t>Latest Revision 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C88F" w14:textId="77777777" w:rsidR="00197B40" w:rsidRDefault="00197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80898" w14:textId="77777777" w:rsidR="00336368" w:rsidRDefault="00336368" w:rsidP="008D21BC">
      <w:r>
        <w:separator/>
      </w:r>
    </w:p>
  </w:footnote>
  <w:footnote w:type="continuationSeparator" w:id="0">
    <w:p w14:paraId="23D82A19" w14:textId="77777777" w:rsidR="00336368" w:rsidRDefault="00336368" w:rsidP="008D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F4CD" w14:textId="77777777" w:rsidR="00197B40" w:rsidRDefault="00197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CD27" w14:textId="44A46BF2" w:rsidR="00C001A1" w:rsidRDefault="00C001A1" w:rsidP="00003AE5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b/>
        <w:smallCaps/>
        <w:sz w:val="28"/>
      </w:rPr>
    </w:pPr>
    <w:r>
      <w:rPr>
        <w:rFonts w:asciiTheme="majorHAnsi" w:hAnsiTheme="majorHAnsi" w:cstheme="majorHAnsi"/>
        <w:b/>
        <w:smallCaps/>
        <w:sz w:val="28"/>
      </w:rPr>
      <w:t>MEDICAL NECESSITY CHECKLIST</w:t>
    </w:r>
    <w:r w:rsidR="0073044C">
      <w:rPr>
        <w:rFonts w:asciiTheme="majorHAnsi" w:hAnsiTheme="majorHAnsi" w:cstheme="majorHAnsi"/>
        <w:b/>
        <w:smallCaps/>
        <w:sz w:val="28"/>
      </w:rPr>
      <w:t xml:space="preserve"> </w:t>
    </w:r>
    <w:r>
      <w:rPr>
        <w:rFonts w:asciiTheme="majorHAnsi" w:hAnsiTheme="majorHAnsi" w:cstheme="majorHAnsi"/>
        <w:b/>
        <w:smallCaps/>
        <w:sz w:val="28"/>
      </w:rPr>
      <w:t xml:space="preserve">FOR </w:t>
    </w:r>
    <w:r w:rsidR="008F7EE9">
      <w:rPr>
        <w:rFonts w:asciiTheme="majorHAnsi" w:hAnsiTheme="majorHAnsi" w:cstheme="majorHAnsi"/>
        <w:b/>
        <w:smallCaps/>
        <w:sz w:val="28"/>
      </w:rPr>
      <w:t xml:space="preserve">HBO </w:t>
    </w:r>
    <w:r>
      <w:rPr>
        <w:rFonts w:asciiTheme="majorHAnsi" w:hAnsiTheme="majorHAnsi" w:cstheme="majorHAnsi"/>
        <w:b/>
        <w:smallCaps/>
        <w:sz w:val="28"/>
      </w:rPr>
      <w:t>TREATMENT OF</w:t>
    </w:r>
  </w:p>
  <w:p w14:paraId="5DCBE0F9" w14:textId="1C2E687A" w:rsidR="00C6406E" w:rsidRPr="005C3690" w:rsidRDefault="00C001A1" w:rsidP="00003AE5">
    <w:pPr>
      <w:widowControl w:val="0"/>
      <w:autoSpaceDE w:val="0"/>
      <w:autoSpaceDN w:val="0"/>
      <w:adjustRightInd w:val="0"/>
      <w:jc w:val="center"/>
      <w:rPr>
        <w:smallCaps/>
        <w:sz w:val="28"/>
      </w:rPr>
    </w:pPr>
    <w:r>
      <w:rPr>
        <w:rFonts w:asciiTheme="majorHAnsi" w:hAnsiTheme="majorHAnsi" w:cstheme="majorHAnsi"/>
        <w:b/>
        <w:smallCaps/>
        <w:sz w:val="28"/>
      </w:rPr>
      <w:t>CHRONIC REFRACTORY OSTEOMYELITIS</w:t>
    </w:r>
    <w:r w:rsidR="00C6406E">
      <w:rPr>
        <w:rFonts w:asciiTheme="majorHAnsi" w:hAnsiTheme="majorHAnsi" w:cstheme="majorHAnsi"/>
        <w:b/>
        <w:smallCaps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19AA6" w14:textId="77777777" w:rsidR="00197B40" w:rsidRDefault="00197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D27B7"/>
    <w:multiLevelType w:val="hybridMultilevel"/>
    <w:tmpl w:val="9AE245D6"/>
    <w:lvl w:ilvl="0" w:tplc="EA86D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206A"/>
    <w:multiLevelType w:val="hybridMultilevel"/>
    <w:tmpl w:val="6F8E2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3D"/>
    <w:rsid w:val="00003AE5"/>
    <w:rsid w:val="00017D01"/>
    <w:rsid w:val="000C0CDB"/>
    <w:rsid w:val="000C49C5"/>
    <w:rsid w:val="000E0936"/>
    <w:rsid w:val="001448EE"/>
    <w:rsid w:val="001454E6"/>
    <w:rsid w:val="00197B40"/>
    <w:rsid w:val="001B1734"/>
    <w:rsid w:val="001C4DE8"/>
    <w:rsid w:val="001F27CA"/>
    <w:rsid w:val="00275C92"/>
    <w:rsid w:val="00313B62"/>
    <w:rsid w:val="00336368"/>
    <w:rsid w:val="003B6EDD"/>
    <w:rsid w:val="00497713"/>
    <w:rsid w:val="00532E5F"/>
    <w:rsid w:val="005552B5"/>
    <w:rsid w:val="005669E8"/>
    <w:rsid w:val="0057149A"/>
    <w:rsid w:val="005C3690"/>
    <w:rsid w:val="006505D8"/>
    <w:rsid w:val="00650F10"/>
    <w:rsid w:val="0073044C"/>
    <w:rsid w:val="00750407"/>
    <w:rsid w:val="0079727C"/>
    <w:rsid w:val="008C373E"/>
    <w:rsid w:val="008D21BC"/>
    <w:rsid w:val="008F7EE9"/>
    <w:rsid w:val="00BB0E5E"/>
    <w:rsid w:val="00C001A1"/>
    <w:rsid w:val="00C24A2D"/>
    <w:rsid w:val="00C6406E"/>
    <w:rsid w:val="00CC5FB2"/>
    <w:rsid w:val="00D255B4"/>
    <w:rsid w:val="00D42D4C"/>
    <w:rsid w:val="00D81CB2"/>
    <w:rsid w:val="00E02477"/>
    <w:rsid w:val="00E545AA"/>
    <w:rsid w:val="00E80D66"/>
    <w:rsid w:val="00EC3ADB"/>
    <w:rsid w:val="00F22F1D"/>
    <w:rsid w:val="00F66162"/>
    <w:rsid w:val="00F75D3D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BD46D7"/>
  <w15:docId w15:val="{7C3DE02E-78FD-4B75-94E4-F25F95F3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BC"/>
  </w:style>
  <w:style w:type="paragraph" w:styleId="Footer">
    <w:name w:val="footer"/>
    <w:basedOn w:val="Normal"/>
    <w:link w:val="Foot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BC"/>
  </w:style>
  <w:style w:type="table" w:styleId="TableGrid">
    <w:name w:val="Table Grid"/>
    <w:basedOn w:val="TableNormal"/>
    <w:uiPriority w:val="59"/>
    <w:rsid w:val="0000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C186-FA74-4A78-8B74-7689312E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Palmetto Health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Short</dc:creator>
  <cp:lastModifiedBy>Marcia Moore</cp:lastModifiedBy>
  <cp:revision>11</cp:revision>
  <cp:lastPrinted>2017-11-21T14:35:00Z</cp:lastPrinted>
  <dcterms:created xsi:type="dcterms:W3CDTF">2017-09-15T19:42:00Z</dcterms:created>
  <dcterms:modified xsi:type="dcterms:W3CDTF">2020-02-27T16:36:00Z</dcterms:modified>
</cp:coreProperties>
</file>